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0662A">
      <w:pPr>
        <w:pStyle w:val="CM9"/>
        <w:spacing w:line="600" w:lineRule="atLeast"/>
        <w:ind w:left="135"/>
        <w:rPr>
          <w:rFonts w:hAnsi="黑体"/>
          <w:color w:val="313131"/>
        </w:rPr>
      </w:pPr>
      <w:bookmarkStart w:id="0" w:name="_GoBack"/>
      <w:bookmarkEnd w:id="0"/>
      <w:r>
        <w:rPr>
          <w:rFonts w:hAnsi="黑体" w:hint="eastAsia"/>
          <w:color w:val="313131"/>
        </w:rPr>
        <w:t>附件</w:t>
      </w:r>
      <w:r>
        <w:rPr>
          <w:rFonts w:hAnsi="黑体"/>
          <w:color w:val="313131"/>
        </w:rPr>
        <w:t>1</w:t>
      </w:r>
    </w:p>
    <w:p w:rsidR="00000000" w:rsidRDefault="00A0662A">
      <w:pPr>
        <w:pStyle w:val="Default"/>
      </w:pPr>
    </w:p>
    <w:p w:rsidR="00000000" w:rsidRDefault="00A0662A">
      <w:pPr>
        <w:pStyle w:val="CM9"/>
        <w:spacing w:line="600" w:lineRule="atLeast"/>
        <w:ind w:left="135"/>
        <w:jc w:val="center"/>
        <w:rPr>
          <w:rFonts w:ascii="方正小标宋简体" w:eastAsia="方正小标宋简体"/>
          <w:color w:val="313131"/>
        </w:rPr>
      </w:pPr>
      <w:r>
        <w:rPr>
          <w:rFonts w:ascii="方正小标宋简体" w:eastAsia="方正小标宋简体" w:hint="eastAsia"/>
          <w:color w:val="313131"/>
        </w:rPr>
        <w:t>霍英东教育基金会高等院校青年科学奖及</w:t>
      </w:r>
    </w:p>
    <w:p w:rsidR="00000000" w:rsidRDefault="00A0662A">
      <w:pPr>
        <w:pStyle w:val="CM9"/>
        <w:spacing w:line="600" w:lineRule="atLeast"/>
        <w:ind w:left="135"/>
        <w:jc w:val="center"/>
        <w:rPr>
          <w:rFonts w:ascii="方正小标宋简体" w:eastAsia="方正小标宋简体"/>
          <w:color w:val="313131"/>
        </w:rPr>
      </w:pPr>
      <w:r>
        <w:rPr>
          <w:rFonts w:ascii="方正小标宋简体" w:eastAsia="方正小标宋简体" w:hint="eastAsia"/>
          <w:color w:val="313131"/>
        </w:rPr>
        <w:t>教育教学奖管理办法（试行）</w:t>
      </w:r>
    </w:p>
    <w:p w:rsidR="00000000" w:rsidRDefault="00A0662A">
      <w:pPr>
        <w:pStyle w:val="Default"/>
        <w:spacing w:line="560" w:lineRule="exact"/>
        <w:ind w:left="418" w:right="1628"/>
        <w:jc w:val="center"/>
        <w:rPr>
          <w:rFonts w:ascii="仿宋_GB2312" w:eastAsia="仿宋_GB2312"/>
          <w:b/>
          <w:color w:val="313131"/>
        </w:rPr>
      </w:pPr>
      <w:r>
        <w:rPr>
          <w:rFonts w:ascii="仿宋_GB2312" w:eastAsia="仿宋_GB2312" w:hint="eastAsia"/>
          <w:b/>
          <w:color w:val="313131"/>
        </w:rPr>
        <w:t>第一章</w:t>
      </w:r>
      <w:r>
        <w:rPr>
          <w:rFonts w:ascii="仿宋_GB2312" w:eastAsia="仿宋_GB2312"/>
          <w:b/>
          <w:color w:val="313131"/>
        </w:rPr>
        <w:t xml:space="preserve"> </w:t>
      </w:r>
      <w:r>
        <w:rPr>
          <w:rFonts w:ascii="仿宋_GB2312" w:eastAsia="仿宋_GB2312" w:hint="eastAsia"/>
          <w:b/>
          <w:color w:val="313131"/>
        </w:rPr>
        <w:t>总则</w:t>
      </w:r>
    </w:p>
    <w:p w:rsidR="00000000" w:rsidRDefault="00A0662A">
      <w:pPr>
        <w:spacing w:line="560" w:lineRule="exact"/>
        <w:ind w:firstLineChars="200" w:firstLine="482"/>
        <w:rPr>
          <w:rFonts w:ascii="仿宋_GB2312" w:eastAsia="仿宋_GB2312"/>
        </w:rPr>
      </w:pPr>
      <w:r>
        <w:rPr>
          <w:rFonts w:ascii="仿宋_GB2312" w:eastAsia="仿宋_GB2312" w:hint="eastAsia"/>
          <w:b/>
        </w:rPr>
        <w:t>第一条</w:t>
      </w:r>
      <w:r>
        <w:rPr>
          <w:rFonts w:ascii="仿宋_GB2312" w:eastAsia="仿宋_GB2312"/>
          <w:b/>
        </w:rPr>
        <w:t xml:space="preserve"> </w:t>
      </w:r>
      <w:r>
        <w:rPr>
          <w:rFonts w:ascii="仿宋_GB2312" w:eastAsia="仿宋_GB2312" w:hint="eastAsia"/>
        </w:rPr>
        <w:t>为鼓励高等院校教师在科学研究或教育教学工作中做出优异成绩，特设立高等院校青年科学奖及教育教学奖。第二条奖励设置</w:t>
      </w:r>
    </w:p>
    <w:p w:rsidR="00000000" w:rsidRDefault="00A0662A">
      <w:pPr>
        <w:spacing w:line="560" w:lineRule="exact"/>
        <w:ind w:firstLineChars="200" w:firstLine="480"/>
        <w:rPr>
          <w:rFonts w:ascii="仿宋_GB2312" w:eastAsia="仿宋_GB2312"/>
        </w:rPr>
      </w:pPr>
      <w:r>
        <w:rPr>
          <w:rFonts w:ascii="仿宋_GB2312" w:eastAsia="仿宋_GB2312" w:hint="eastAsia"/>
        </w:rPr>
        <w:t>青年科学奖旨在奖励长期从事一线科学研究工作，坚持立德树人根本任务，对国家经济发展、社会进步和科技创新有突出成就，并取得重要成果的青年教师。</w:t>
      </w:r>
    </w:p>
    <w:p w:rsidR="00000000" w:rsidRDefault="00A0662A">
      <w:pPr>
        <w:spacing w:line="560" w:lineRule="exact"/>
        <w:ind w:firstLineChars="200" w:firstLine="480"/>
        <w:rPr>
          <w:rFonts w:ascii="仿宋_GB2312" w:eastAsia="仿宋_GB2312"/>
        </w:rPr>
      </w:pPr>
      <w:r>
        <w:rPr>
          <w:rFonts w:ascii="仿宋_GB2312" w:eastAsia="仿宋_GB2312" w:hint="eastAsia"/>
        </w:rPr>
        <w:t>教育教学奖旨在奖励长期从事一线本科教学工作，坚持立德树人根本任务，对教育思想和教学方法有重要创新，教学成果和教育质量突出，在学生培养方面有重要贡献的教师。</w:t>
      </w:r>
    </w:p>
    <w:p w:rsidR="00000000" w:rsidRDefault="00A0662A">
      <w:pPr>
        <w:spacing w:line="560" w:lineRule="exact"/>
        <w:ind w:firstLineChars="200" w:firstLine="482"/>
        <w:rPr>
          <w:rFonts w:ascii="仿宋_GB2312" w:eastAsia="仿宋_GB2312"/>
        </w:rPr>
      </w:pPr>
      <w:r>
        <w:rPr>
          <w:rFonts w:ascii="仿宋_GB2312" w:eastAsia="仿宋_GB2312" w:hint="eastAsia"/>
          <w:b/>
        </w:rPr>
        <w:t>第三条</w:t>
      </w:r>
      <w:r>
        <w:rPr>
          <w:rFonts w:ascii="仿宋_GB2312" w:eastAsia="仿宋_GB2312"/>
          <w:b/>
        </w:rPr>
        <w:t xml:space="preserve"> </w:t>
      </w:r>
      <w:r>
        <w:rPr>
          <w:rFonts w:ascii="仿宋_GB2312" w:eastAsia="仿宋_GB2312" w:hint="eastAsia"/>
        </w:rPr>
        <w:t>奖励名额及奖励金额</w:t>
      </w:r>
    </w:p>
    <w:p w:rsidR="00000000" w:rsidRDefault="00A0662A">
      <w:pPr>
        <w:spacing w:line="560" w:lineRule="exact"/>
        <w:ind w:firstLineChars="200" w:firstLine="480"/>
        <w:rPr>
          <w:rFonts w:ascii="仿宋_GB2312" w:eastAsia="仿宋_GB2312"/>
        </w:rPr>
      </w:pPr>
      <w:r>
        <w:rPr>
          <w:rFonts w:ascii="仿宋_GB2312" w:eastAsia="仿宋_GB2312" w:hint="eastAsia"/>
        </w:rPr>
        <w:t>青年科学奖：一等奖每届不超过</w:t>
      </w:r>
      <w:r>
        <w:rPr>
          <w:rFonts w:ascii="仿宋_GB2312" w:eastAsia="仿宋_GB2312"/>
        </w:rPr>
        <w:t>5</w:t>
      </w:r>
      <w:r>
        <w:rPr>
          <w:rFonts w:ascii="仿宋_GB2312" w:eastAsia="仿宋_GB2312" w:hint="eastAsia"/>
        </w:rPr>
        <w:t>名，奖金每人为</w:t>
      </w:r>
      <w:r>
        <w:rPr>
          <w:rFonts w:ascii="仿宋_GB2312" w:eastAsia="仿宋_GB2312"/>
        </w:rPr>
        <w:t>50</w:t>
      </w:r>
      <w:r>
        <w:rPr>
          <w:rFonts w:ascii="仿宋_GB2312" w:eastAsia="仿宋_GB2312" w:hint="eastAsia"/>
        </w:rPr>
        <w:t>万元；二等奖每届不超</w:t>
      </w:r>
      <w:r>
        <w:rPr>
          <w:rFonts w:ascii="仿宋_GB2312" w:eastAsia="仿宋_GB2312" w:hint="eastAsia"/>
        </w:rPr>
        <w:t>过</w:t>
      </w:r>
      <w:r>
        <w:rPr>
          <w:rFonts w:ascii="仿宋_GB2312" w:eastAsia="仿宋_GB2312"/>
        </w:rPr>
        <w:t>75</w:t>
      </w:r>
      <w:r>
        <w:rPr>
          <w:rFonts w:ascii="仿宋_GB2312" w:eastAsia="仿宋_GB2312" w:hint="eastAsia"/>
        </w:rPr>
        <w:t>名，奖金每人为</w:t>
      </w:r>
      <w:r>
        <w:rPr>
          <w:rFonts w:ascii="仿宋_GB2312" w:eastAsia="仿宋_GB2312"/>
        </w:rPr>
        <w:t>10</w:t>
      </w:r>
      <w:r>
        <w:rPr>
          <w:rFonts w:ascii="仿宋_GB2312" w:eastAsia="仿宋_GB2312" w:hint="eastAsia"/>
        </w:rPr>
        <w:t>万元。教育教学奖：一等奖每届不超过</w:t>
      </w:r>
      <w:r>
        <w:rPr>
          <w:rFonts w:ascii="仿宋_GB2312" w:eastAsia="仿宋_GB2312"/>
        </w:rPr>
        <w:t>5</w:t>
      </w:r>
      <w:r>
        <w:rPr>
          <w:rFonts w:ascii="仿宋_GB2312" w:eastAsia="仿宋_GB2312" w:hint="eastAsia"/>
        </w:rPr>
        <w:t>名，奖金每人为</w:t>
      </w:r>
      <w:r>
        <w:rPr>
          <w:rFonts w:ascii="仿宋_GB2312" w:eastAsia="仿宋_GB2312"/>
        </w:rPr>
        <w:t>50</w:t>
      </w:r>
      <w:r>
        <w:rPr>
          <w:rFonts w:ascii="仿宋_GB2312" w:eastAsia="仿宋_GB2312" w:hint="eastAsia"/>
        </w:rPr>
        <w:t>万元；二等奖每届不超过</w:t>
      </w:r>
      <w:r>
        <w:rPr>
          <w:rFonts w:ascii="仿宋_GB2312" w:eastAsia="仿宋_GB2312"/>
        </w:rPr>
        <w:t>75</w:t>
      </w:r>
      <w:r>
        <w:rPr>
          <w:rFonts w:ascii="仿宋_GB2312" w:eastAsia="仿宋_GB2312" w:hint="eastAsia"/>
        </w:rPr>
        <w:t>名，奖金每人为</w:t>
      </w:r>
      <w:r>
        <w:rPr>
          <w:rFonts w:ascii="仿宋_GB2312" w:eastAsia="仿宋_GB2312"/>
        </w:rPr>
        <w:t>10</w:t>
      </w:r>
      <w:r>
        <w:rPr>
          <w:rFonts w:ascii="仿宋_GB2312" w:eastAsia="仿宋_GB2312" w:hint="eastAsia"/>
        </w:rPr>
        <w:t>万元。奖金为获奖者本人所有，同时颁发霍英东教育基金会获奖证书和奖牌。</w:t>
      </w:r>
    </w:p>
    <w:p w:rsidR="00000000" w:rsidRDefault="00A0662A">
      <w:pPr>
        <w:pStyle w:val="Default"/>
        <w:spacing w:line="560" w:lineRule="exact"/>
        <w:ind w:left="418" w:right="1628"/>
        <w:jc w:val="center"/>
        <w:rPr>
          <w:rFonts w:ascii="仿宋_GB2312" w:eastAsia="仿宋_GB2312"/>
          <w:b/>
          <w:color w:val="313131"/>
        </w:rPr>
      </w:pPr>
    </w:p>
    <w:p w:rsidR="00000000" w:rsidRDefault="00A0662A">
      <w:pPr>
        <w:pStyle w:val="Default"/>
        <w:spacing w:line="560" w:lineRule="exact"/>
        <w:ind w:left="418" w:right="1628"/>
        <w:jc w:val="center"/>
        <w:rPr>
          <w:rFonts w:ascii="仿宋_GB2312" w:eastAsia="仿宋_GB2312"/>
          <w:b/>
          <w:color w:val="313131"/>
        </w:rPr>
      </w:pPr>
      <w:r>
        <w:rPr>
          <w:rFonts w:ascii="仿宋_GB2312" w:eastAsia="仿宋_GB2312" w:hint="eastAsia"/>
          <w:b/>
          <w:color w:val="313131"/>
        </w:rPr>
        <w:t>第二章</w:t>
      </w:r>
      <w:r>
        <w:rPr>
          <w:rFonts w:ascii="仿宋_GB2312" w:eastAsia="仿宋_GB2312"/>
          <w:b/>
          <w:color w:val="313131"/>
        </w:rPr>
        <w:t xml:space="preserve"> </w:t>
      </w:r>
      <w:r>
        <w:rPr>
          <w:rFonts w:ascii="仿宋_GB2312" w:eastAsia="仿宋_GB2312" w:hint="eastAsia"/>
          <w:b/>
          <w:color w:val="313131"/>
        </w:rPr>
        <w:t>申请条件</w:t>
      </w:r>
    </w:p>
    <w:p w:rsidR="00000000" w:rsidRDefault="00A0662A">
      <w:pPr>
        <w:spacing w:line="560" w:lineRule="exact"/>
        <w:ind w:firstLineChars="200" w:firstLine="482"/>
        <w:rPr>
          <w:rFonts w:ascii="仿宋_GB2312" w:eastAsia="仿宋_GB2312"/>
        </w:rPr>
      </w:pPr>
      <w:r>
        <w:rPr>
          <w:rFonts w:ascii="仿宋_GB2312" w:eastAsia="仿宋_GB2312" w:hint="eastAsia"/>
          <w:b/>
        </w:rPr>
        <w:t>第四条</w:t>
      </w:r>
      <w:r>
        <w:rPr>
          <w:rFonts w:ascii="仿宋_GB2312" w:eastAsia="仿宋_GB2312"/>
          <w:b/>
        </w:rPr>
        <w:t xml:space="preserve"> </w:t>
      </w:r>
      <w:r>
        <w:rPr>
          <w:rFonts w:ascii="仿宋_GB2312" w:eastAsia="仿宋_GB2312" w:hint="eastAsia"/>
        </w:rPr>
        <w:t>面向普通本科院校，由各高校、省区市教育厅（教委）按照限额组织推荐。</w:t>
      </w:r>
    </w:p>
    <w:p w:rsidR="00000000" w:rsidRDefault="00A0662A">
      <w:pPr>
        <w:spacing w:line="560" w:lineRule="exact"/>
        <w:ind w:firstLineChars="200" w:firstLine="482"/>
        <w:rPr>
          <w:rFonts w:ascii="仿宋_GB2312" w:eastAsia="仿宋_GB2312"/>
        </w:rPr>
      </w:pPr>
      <w:r>
        <w:rPr>
          <w:rFonts w:ascii="仿宋_GB2312" w:eastAsia="仿宋_GB2312" w:hint="eastAsia"/>
          <w:b/>
        </w:rPr>
        <w:t>第五条</w:t>
      </w:r>
      <w:r>
        <w:rPr>
          <w:rFonts w:ascii="仿宋_GB2312" w:eastAsia="仿宋_GB2312"/>
        </w:rPr>
        <w:t xml:space="preserve"> </w:t>
      </w:r>
      <w:r>
        <w:rPr>
          <w:rFonts w:ascii="仿宋_GB2312" w:eastAsia="仿宋_GB2312" w:hint="eastAsia"/>
        </w:rPr>
        <w:t>青年科学奖候选人必须符合下列条件：</w:t>
      </w:r>
    </w:p>
    <w:p w:rsidR="00000000" w:rsidRDefault="00A0662A">
      <w:pPr>
        <w:spacing w:line="560" w:lineRule="exact"/>
        <w:ind w:firstLineChars="200" w:firstLine="480"/>
        <w:rPr>
          <w:rFonts w:ascii="仿宋_GB2312" w:eastAsia="仿宋_GB2312"/>
        </w:rPr>
      </w:pPr>
      <w:r>
        <w:rPr>
          <w:rFonts w:ascii="仿宋_GB2312" w:eastAsia="仿宋_GB2312"/>
        </w:rPr>
        <w:t xml:space="preserve">1. </w:t>
      </w:r>
      <w:r>
        <w:rPr>
          <w:rFonts w:ascii="仿宋_GB2312" w:eastAsia="仿宋_GB2312" w:hint="eastAsia"/>
        </w:rPr>
        <w:t>近</w:t>
      </w:r>
      <w:r>
        <w:rPr>
          <w:rFonts w:ascii="仿宋_GB2312" w:eastAsia="仿宋_GB2312"/>
        </w:rPr>
        <w:t xml:space="preserve">5 </w:t>
      </w:r>
      <w:r>
        <w:rPr>
          <w:rFonts w:ascii="仿宋_GB2312" w:eastAsia="仿宋_GB2312" w:hint="eastAsia"/>
        </w:rPr>
        <w:t>年内从事一线科学研究工作的在职专任教师；</w:t>
      </w:r>
    </w:p>
    <w:p w:rsidR="00000000" w:rsidRDefault="00A0662A">
      <w:pPr>
        <w:spacing w:line="560" w:lineRule="exact"/>
        <w:ind w:firstLineChars="200" w:firstLine="480"/>
        <w:rPr>
          <w:rFonts w:ascii="仿宋_GB2312" w:eastAsia="仿宋_GB2312"/>
        </w:rPr>
      </w:pPr>
      <w:r>
        <w:rPr>
          <w:rFonts w:ascii="仿宋_GB2312" w:eastAsia="仿宋_GB2312"/>
        </w:rPr>
        <w:lastRenderedPageBreak/>
        <w:t>2.</w:t>
      </w:r>
      <w:r>
        <w:rPr>
          <w:rFonts w:ascii="仿宋_GB2312" w:eastAsia="仿宋_GB2312" w:hint="eastAsia"/>
        </w:rPr>
        <w:t>女性不超过</w:t>
      </w:r>
      <w:r>
        <w:rPr>
          <w:rFonts w:ascii="仿宋_GB2312" w:eastAsia="仿宋_GB2312"/>
        </w:rPr>
        <w:t>40</w:t>
      </w:r>
      <w:r>
        <w:rPr>
          <w:rFonts w:ascii="仿宋_GB2312" w:eastAsia="仿宋_GB2312" w:hint="eastAsia"/>
        </w:rPr>
        <w:t>周岁，男性不超过</w:t>
      </w:r>
      <w:r>
        <w:rPr>
          <w:rFonts w:ascii="仿宋_GB2312" w:eastAsia="仿宋_GB2312"/>
        </w:rPr>
        <w:t>38</w:t>
      </w:r>
      <w:r>
        <w:rPr>
          <w:rFonts w:ascii="仿宋_GB2312" w:eastAsia="仿宋_GB2312" w:hint="eastAsia"/>
        </w:rPr>
        <w:t>周岁；</w:t>
      </w:r>
    </w:p>
    <w:p w:rsidR="00000000" w:rsidRDefault="00A0662A">
      <w:pPr>
        <w:spacing w:line="560" w:lineRule="exact"/>
        <w:ind w:firstLineChars="200" w:firstLine="480"/>
        <w:rPr>
          <w:rFonts w:ascii="仿宋_GB2312" w:eastAsia="仿宋_GB2312"/>
        </w:rPr>
      </w:pPr>
      <w:r>
        <w:rPr>
          <w:rFonts w:ascii="仿宋_GB2312" w:eastAsia="仿宋_GB2312"/>
        </w:rPr>
        <w:t>3.</w:t>
      </w:r>
      <w:r>
        <w:rPr>
          <w:rFonts w:ascii="仿宋_GB2312" w:eastAsia="仿宋_GB2312" w:hint="eastAsia"/>
        </w:rPr>
        <w:t>具有博士学位或副高级专业技术职务以上职称；</w:t>
      </w:r>
    </w:p>
    <w:p w:rsidR="00000000" w:rsidRDefault="00A0662A">
      <w:pPr>
        <w:spacing w:line="560" w:lineRule="exact"/>
        <w:ind w:firstLineChars="200" w:firstLine="480"/>
        <w:rPr>
          <w:rFonts w:ascii="仿宋_GB2312" w:eastAsia="仿宋_GB2312"/>
        </w:rPr>
      </w:pPr>
      <w:r>
        <w:rPr>
          <w:rFonts w:ascii="仿宋_GB2312" w:eastAsia="仿宋_GB2312"/>
        </w:rPr>
        <w:t>4.</w:t>
      </w:r>
      <w:r>
        <w:rPr>
          <w:rFonts w:ascii="仿宋_GB2312" w:eastAsia="仿宋_GB2312" w:hint="eastAsia"/>
        </w:rPr>
        <w:t>热爱中国，坚持立德树人，有高</w:t>
      </w:r>
      <w:r>
        <w:rPr>
          <w:rFonts w:ascii="仿宋_GB2312" w:eastAsia="仿宋_GB2312" w:hint="eastAsia"/>
        </w:rPr>
        <w:t>尚的社会公德及职业道德，积极为国家科技创新、经济建设服务；</w:t>
      </w:r>
    </w:p>
    <w:p w:rsidR="00000000" w:rsidRDefault="00A0662A">
      <w:pPr>
        <w:spacing w:line="560" w:lineRule="exact"/>
        <w:ind w:firstLineChars="200" w:firstLine="480"/>
        <w:rPr>
          <w:rFonts w:ascii="仿宋_GB2312" w:eastAsia="仿宋_GB2312"/>
        </w:rPr>
      </w:pPr>
      <w:r>
        <w:rPr>
          <w:rFonts w:ascii="仿宋_GB2312" w:eastAsia="仿宋_GB2312"/>
        </w:rPr>
        <w:t>5.</w:t>
      </w:r>
      <w:r>
        <w:rPr>
          <w:rFonts w:ascii="仿宋_GB2312" w:eastAsia="仿宋_GB2312" w:hint="eastAsia"/>
        </w:rPr>
        <w:t>具有独立进行教学和科学研究的能力，有较强的科研发展潜力，已取得了较强影响的原创性成果并得到同行认可；</w:t>
      </w:r>
    </w:p>
    <w:p w:rsidR="00000000" w:rsidRDefault="00A0662A">
      <w:pPr>
        <w:spacing w:line="560" w:lineRule="exact"/>
        <w:ind w:firstLineChars="200" w:firstLine="480"/>
        <w:rPr>
          <w:rFonts w:ascii="仿宋_GB2312" w:eastAsia="仿宋_GB2312"/>
        </w:rPr>
      </w:pPr>
      <w:r>
        <w:rPr>
          <w:rFonts w:ascii="仿宋_GB2312" w:eastAsia="仿宋_GB2312"/>
        </w:rPr>
        <w:t>6.</w:t>
      </w:r>
      <w:r>
        <w:rPr>
          <w:rFonts w:ascii="仿宋_GB2312" w:eastAsia="仿宋_GB2312" w:hint="eastAsia"/>
        </w:rPr>
        <w:t>主持过省部级以上课题。</w:t>
      </w:r>
    </w:p>
    <w:p w:rsidR="00000000" w:rsidRDefault="00A0662A">
      <w:pPr>
        <w:spacing w:line="560" w:lineRule="exact"/>
        <w:ind w:firstLineChars="200" w:firstLine="482"/>
        <w:rPr>
          <w:rFonts w:ascii="仿宋_GB2312" w:eastAsia="仿宋_GB2312"/>
        </w:rPr>
      </w:pPr>
      <w:r>
        <w:rPr>
          <w:rFonts w:ascii="仿宋_GB2312" w:eastAsia="仿宋_GB2312" w:hint="eastAsia"/>
          <w:b/>
        </w:rPr>
        <w:t>第六条</w:t>
      </w:r>
      <w:r>
        <w:rPr>
          <w:rFonts w:ascii="仿宋_GB2312" w:eastAsia="仿宋_GB2312"/>
          <w:b/>
        </w:rPr>
        <w:t xml:space="preserve"> </w:t>
      </w:r>
      <w:r>
        <w:rPr>
          <w:rFonts w:ascii="仿宋_GB2312" w:eastAsia="仿宋_GB2312" w:hint="eastAsia"/>
        </w:rPr>
        <w:t>教育教学奖候选人必须符合下列条件：</w:t>
      </w:r>
    </w:p>
    <w:p w:rsidR="00000000" w:rsidRDefault="00A0662A">
      <w:pPr>
        <w:spacing w:line="560" w:lineRule="exact"/>
        <w:ind w:firstLineChars="200" w:firstLine="480"/>
        <w:rPr>
          <w:rFonts w:ascii="仿宋_GB2312" w:eastAsia="仿宋_GB2312"/>
        </w:rPr>
      </w:pPr>
      <w:r>
        <w:rPr>
          <w:rFonts w:ascii="仿宋_GB2312" w:eastAsia="仿宋_GB2312"/>
        </w:rPr>
        <w:t>1.</w:t>
      </w:r>
      <w:r>
        <w:rPr>
          <w:rFonts w:ascii="仿宋_GB2312" w:eastAsia="仿宋_GB2312" w:hint="eastAsia"/>
        </w:rPr>
        <w:t>近</w:t>
      </w:r>
      <w:r>
        <w:rPr>
          <w:rFonts w:ascii="仿宋_GB2312" w:eastAsia="仿宋_GB2312"/>
        </w:rPr>
        <w:t xml:space="preserve">5 </w:t>
      </w:r>
      <w:r>
        <w:rPr>
          <w:rFonts w:ascii="仿宋_GB2312" w:eastAsia="仿宋_GB2312" w:hint="eastAsia"/>
        </w:rPr>
        <w:t>年内从事一线本科教学工作的在职专任教师；</w:t>
      </w:r>
    </w:p>
    <w:p w:rsidR="00000000" w:rsidRDefault="00A0662A">
      <w:pPr>
        <w:spacing w:line="560" w:lineRule="exact"/>
        <w:ind w:firstLineChars="200" w:firstLine="480"/>
        <w:rPr>
          <w:rFonts w:ascii="仿宋_GB2312" w:eastAsia="仿宋_GB2312"/>
        </w:rPr>
      </w:pPr>
      <w:r>
        <w:rPr>
          <w:rFonts w:ascii="仿宋_GB2312" w:eastAsia="仿宋_GB2312"/>
        </w:rPr>
        <w:t>2.</w:t>
      </w:r>
      <w:r>
        <w:rPr>
          <w:rFonts w:ascii="仿宋_GB2312" w:eastAsia="仿宋_GB2312" w:hint="eastAsia"/>
        </w:rPr>
        <w:t>年龄不超过</w:t>
      </w:r>
      <w:r>
        <w:rPr>
          <w:rFonts w:ascii="仿宋_GB2312" w:eastAsia="仿宋_GB2312"/>
        </w:rPr>
        <w:t>55</w:t>
      </w:r>
      <w:r>
        <w:rPr>
          <w:rFonts w:ascii="仿宋_GB2312" w:eastAsia="仿宋_GB2312" w:hint="eastAsia"/>
        </w:rPr>
        <w:t>周岁；</w:t>
      </w:r>
    </w:p>
    <w:p w:rsidR="00000000" w:rsidRDefault="00A0662A">
      <w:pPr>
        <w:spacing w:line="560" w:lineRule="exact"/>
        <w:ind w:firstLineChars="200" w:firstLine="480"/>
        <w:rPr>
          <w:rFonts w:ascii="仿宋_GB2312" w:eastAsia="仿宋_GB2312"/>
        </w:rPr>
      </w:pPr>
      <w:r>
        <w:rPr>
          <w:rFonts w:ascii="仿宋_GB2312" w:eastAsia="仿宋_GB2312"/>
        </w:rPr>
        <w:t>3.</w:t>
      </w:r>
      <w:r>
        <w:rPr>
          <w:rFonts w:ascii="仿宋_GB2312" w:eastAsia="仿宋_GB2312" w:hint="eastAsia"/>
        </w:rPr>
        <w:t>具有副高级专业技术职务以上职称；</w:t>
      </w:r>
    </w:p>
    <w:p w:rsidR="00000000" w:rsidRDefault="00A0662A">
      <w:pPr>
        <w:spacing w:line="560" w:lineRule="exact"/>
        <w:ind w:firstLineChars="200" w:firstLine="480"/>
        <w:rPr>
          <w:rFonts w:ascii="仿宋_GB2312" w:eastAsia="仿宋_GB2312"/>
        </w:rPr>
      </w:pPr>
      <w:r>
        <w:rPr>
          <w:rFonts w:ascii="仿宋_GB2312" w:eastAsia="仿宋_GB2312"/>
        </w:rPr>
        <w:t>4.</w:t>
      </w:r>
      <w:r>
        <w:rPr>
          <w:rFonts w:ascii="仿宋_GB2312" w:eastAsia="仿宋_GB2312" w:hint="eastAsia"/>
        </w:rPr>
        <w:t>热爱中国，坚持立德树人，有高尚的社会公德及职业道德，积极为国家人才培养、经济建设服务；</w:t>
      </w:r>
    </w:p>
    <w:p w:rsidR="00000000" w:rsidRDefault="00A0662A">
      <w:pPr>
        <w:spacing w:line="560" w:lineRule="exact"/>
        <w:ind w:firstLineChars="200" w:firstLine="480"/>
        <w:rPr>
          <w:rFonts w:ascii="仿宋_GB2312" w:eastAsia="仿宋_GB2312"/>
        </w:rPr>
      </w:pPr>
      <w:r>
        <w:rPr>
          <w:rFonts w:ascii="仿宋_GB2312" w:eastAsia="仿宋_GB2312"/>
        </w:rPr>
        <w:t>5.</w:t>
      </w:r>
      <w:r>
        <w:rPr>
          <w:rFonts w:ascii="仿宋_GB2312" w:eastAsia="仿宋_GB2312" w:hint="eastAsia"/>
        </w:rPr>
        <w:t>具有独立进行教育教学的能力，师德高尚，治学严谨，热爱学生，潜心</w:t>
      </w:r>
      <w:r>
        <w:rPr>
          <w:rFonts w:ascii="仿宋_GB2312" w:eastAsia="仿宋_GB2312" w:hint="eastAsia"/>
        </w:rPr>
        <w:t>本科教学，教育教学研究成绩显著，教学质量和成果突出；</w:t>
      </w:r>
    </w:p>
    <w:p w:rsidR="00000000" w:rsidRDefault="00A0662A">
      <w:pPr>
        <w:spacing w:line="560" w:lineRule="exact"/>
        <w:ind w:firstLineChars="200" w:firstLine="480"/>
        <w:rPr>
          <w:rFonts w:ascii="仿宋_GB2312" w:eastAsia="仿宋_GB2312"/>
        </w:rPr>
      </w:pPr>
      <w:r>
        <w:rPr>
          <w:rFonts w:ascii="仿宋_GB2312" w:eastAsia="仿宋_GB2312"/>
        </w:rPr>
        <w:t>6.</w:t>
      </w:r>
      <w:r>
        <w:rPr>
          <w:rFonts w:ascii="仿宋_GB2312" w:eastAsia="仿宋_GB2312" w:hint="eastAsia"/>
        </w:rPr>
        <w:t>主持过省部级以上教学教改课题或获得过校级以上教学名师等相关教育教学奖励。</w:t>
      </w:r>
    </w:p>
    <w:p w:rsidR="00000000" w:rsidRDefault="00A0662A">
      <w:pPr>
        <w:spacing w:line="560" w:lineRule="exact"/>
        <w:ind w:firstLineChars="200" w:firstLine="480"/>
        <w:rPr>
          <w:rFonts w:ascii="仿宋_GB2312" w:eastAsia="仿宋_GB2312"/>
        </w:rPr>
      </w:pPr>
    </w:p>
    <w:p w:rsidR="00000000" w:rsidRDefault="00A0662A">
      <w:pPr>
        <w:pStyle w:val="Default"/>
        <w:spacing w:line="560" w:lineRule="exact"/>
        <w:ind w:left="418" w:right="1628"/>
        <w:jc w:val="center"/>
        <w:rPr>
          <w:rFonts w:ascii="仿宋_GB2312" w:eastAsia="仿宋_GB2312"/>
          <w:b/>
          <w:color w:val="313131"/>
        </w:rPr>
      </w:pPr>
      <w:r>
        <w:rPr>
          <w:rFonts w:ascii="仿宋_GB2312" w:eastAsia="仿宋_GB2312" w:hint="eastAsia"/>
          <w:b/>
          <w:color w:val="313131"/>
        </w:rPr>
        <w:t>第三章</w:t>
      </w:r>
      <w:r>
        <w:rPr>
          <w:rFonts w:ascii="仿宋_GB2312" w:eastAsia="仿宋_GB2312"/>
          <w:b/>
          <w:color w:val="313131"/>
        </w:rPr>
        <w:t xml:space="preserve"> </w:t>
      </w:r>
      <w:r>
        <w:rPr>
          <w:rFonts w:ascii="仿宋_GB2312" w:eastAsia="仿宋_GB2312" w:hint="eastAsia"/>
          <w:b/>
          <w:color w:val="313131"/>
        </w:rPr>
        <w:t>推荐时间及程序</w:t>
      </w:r>
    </w:p>
    <w:p w:rsidR="00000000" w:rsidRDefault="00A0662A">
      <w:pPr>
        <w:spacing w:line="560" w:lineRule="exact"/>
        <w:ind w:firstLineChars="200" w:firstLine="482"/>
        <w:rPr>
          <w:rFonts w:ascii="仿宋_GB2312" w:eastAsia="仿宋_GB2312"/>
        </w:rPr>
      </w:pPr>
      <w:r>
        <w:rPr>
          <w:rFonts w:ascii="仿宋_GB2312" w:eastAsia="仿宋_GB2312" w:hint="eastAsia"/>
          <w:b/>
        </w:rPr>
        <w:t>第七条</w:t>
      </w:r>
      <w:r>
        <w:rPr>
          <w:rFonts w:ascii="仿宋_GB2312" w:eastAsia="仿宋_GB2312"/>
          <w:b/>
        </w:rPr>
        <w:t xml:space="preserve"> </w:t>
      </w:r>
      <w:r>
        <w:rPr>
          <w:rFonts w:ascii="仿宋_GB2312" w:eastAsia="仿宋_GB2312" w:hint="eastAsia"/>
        </w:rPr>
        <w:t>奖励推荐受理时间</w:t>
      </w:r>
    </w:p>
    <w:p w:rsidR="00000000" w:rsidRDefault="00A0662A">
      <w:pPr>
        <w:spacing w:line="560" w:lineRule="exact"/>
        <w:ind w:firstLineChars="200" w:firstLine="480"/>
        <w:rPr>
          <w:rFonts w:ascii="仿宋_GB2312" w:eastAsia="仿宋_GB2312"/>
        </w:rPr>
      </w:pPr>
      <w:r>
        <w:rPr>
          <w:rFonts w:ascii="仿宋_GB2312" w:eastAsia="仿宋_GB2312" w:hint="eastAsia"/>
        </w:rPr>
        <w:t>奖励推荐受理时间是每逢单年（如</w:t>
      </w:r>
      <w:r>
        <w:rPr>
          <w:rFonts w:ascii="仿宋_GB2312" w:eastAsia="仿宋_GB2312"/>
        </w:rPr>
        <w:t>2021</w:t>
      </w:r>
      <w:r>
        <w:rPr>
          <w:rFonts w:ascii="仿宋_GB2312" w:eastAsia="仿宋_GB2312" w:hint="eastAsia"/>
        </w:rPr>
        <w:t>年、</w:t>
      </w:r>
      <w:r>
        <w:rPr>
          <w:rFonts w:ascii="仿宋_GB2312" w:eastAsia="仿宋_GB2312"/>
        </w:rPr>
        <w:t>2023</w:t>
      </w:r>
      <w:r>
        <w:rPr>
          <w:rFonts w:ascii="仿宋_GB2312" w:eastAsia="仿宋_GB2312" w:hint="eastAsia"/>
        </w:rPr>
        <w:t>年等）的</w:t>
      </w:r>
      <w:r>
        <w:rPr>
          <w:rFonts w:ascii="仿宋_GB2312" w:eastAsia="仿宋_GB2312"/>
        </w:rPr>
        <w:t>3</w:t>
      </w:r>
      <w:r>
        <w:rPr>
          <w:rFonts w:ascii="仿宋_GB2312" w:eastAsia="仿宋_GB2312" w:hint="eastAsia"/>
        </w:rPr>
        <w:t>月至</w:t>
      </w:r>
      <w:r>
        <w:rPr>
          <w:rFonts w:ascii="仿宋_GB2312" w:eastAsia="仿宋_GB2312"/>
        </w:rPr>
        <w:t>4</w:t>
      </w:r>
      <w:r>
        <w:rPr>
          <w:rFonts w:ascii="仿宋_GB2312" w:eastAsia="仿宋_GB2312" w:hint="eastAsia"/>
        </w:rPr>
        <w:t>月（以当年组织申报工作通知为准）。如有特殊理由，经霍英东教育基金会理事会同意，受理时间</w:t>
      </w:r>
      <w:r>
        <w:rPr>
          <w:rFonts w:ascii="仿宋_GB2312" w:eastAsia="仿宋_GB2312" w:hint="eastAsia"/>
        </w:rPr>
        <w:lastRenderedPageBreak/>
        <w:t>可不受上述规定的限制。</w:t>
      </w:r>
    </w:p>
    <w:p w:rsidR="00000000" w:rsidRDefault="00A0662A">
      <w:pPr>
        <w:spacing w:line="560" w:lineRule="exact"/>
        <w:ind w:firstLineChars="200" w:firstLine="482"/>
        <w:rPr>
          <w:rFonts w:ascii="仿宋_GB2312" w:eastAsia="仿宋_GB2312"/>
        </w:rPr>
      </w:pPr>
      <w:r>
        <w:rPr>
          <w:rFonts w:ascii="仿宋_GB2312" w:eastAsia="仿宋_GB2312" w:hint="eastAsia"/>
          <w:b/>
        </w:rPr>
        <w:t>第八条</w:t>
      </w:r>
      <w:r>
        <w:rPr>
          <w:rFonts w:ascii="仿宋_GB2312" w:eastAsia="仿宋_GB2312"/>
          <w:b/>
        </w:rPr>
        <w:t xml:space="preserve"> </w:t>
      </w:r>
      <w:r>
        <w:rPr>
          <w:rFonts w:ascii="仿宋_GB2312" w:eastAsia="仿宋_GB2312" w:hint="eastAsia"/>
        </w:rPr>
        <w:t>奖励只授予在国内普通本科院校任教，并且在教学和研究工作中取得突出成绩的教师。</w:t>
      </w:r>
    </w:p>
    <w:p w:rsidR="00000000" w:rsidRDefault="00A0662A">
      <w:pPr>
        <w:spacing w:line="560" w:lineRule="exact"/>
        <w:ind w:firstLineChars="200" w:firstLine="480"/>
        <w:rPr>
          <w:rFonts w:ascii="仿宋_GB2312" w:eastAsia="仿宋_GB2312"/>
        </w:rPr>
      </w:pPr>
      <w:r>
        <w:rPr>
          <w:rFonts w:ascii="仿宋_GB2312" w:eastAsia="仿宋_GB2312" w:hint="eastAsia"/>
        </w:rPr>
        <w:t>由被推荐者所在高等院校推荐，填具《霍英东教育基金会高等院校青年科学</w:t>
      </w:r>
      <w:r>
        <w:rPr>
          <w:rFonts w:ascii="仿宋_GB2312" w:eastAsia="仿宋_GB2312" w:hint="eastAsia"/>
        </w:rPr>
        <w:t>奖推荐书》或《霍英东教育基金会高等院校教育教学奖推荐书》，经被推荐者所在高等院校学术委员会及校长（或主管副校长）审核同意</w:t>
      </w:r>
      <w:r>
        <w:rPr>
          <w:rFonts w:ascii="仿宋_GB2312" w:eastAsia="仿宋_GB2312"/>
        </w:rPr>
        <w:t>(</w:t>
      </w:r>
      <w:r>
        <w:rPr>
          <w:rFonts w:ascii="仿宋_GB2312" w:eastAsia="仿宋_GB2312" w:hint="eastAsia"/>
        </w:rPr>
        <w:t>需由学术委员会主任及校长亲笔签名</w:t>
      </w:r>
      <w:r>
        <w:rPr>
          <w:rFonts w:ascii="仿宋_GB2312" w:eastAsia="仿宋_GB2312"/>
        </w:rPr>
        <w:t>)</w:t>
      </w:r>
      <w:r>
        <w:rPr>
          <w:rFonts w:ascii="仿宋_GB2312" w:eastAsia="仿宋_GB2312" w:hint="eastAsia"/>
        </w:rPr>
        <w:t>，由学校具文（盖校印）将上述《推荐书》寄送霍英东教育基金会。</w:t>
      </w:r>
    </w:p>
    <w:p w:rsidR="00000000" w:rsidRDefault="00A0662A">
      <w:pPr>
        <w:pStyle w:val="Default"/>
        <w:spacing w:line="560" w:lineRule="exact"/>
        <w:ind w:left="418" w:right="1628"/>
        <w:jc w:val="center"/>
        <w:rPr>
          <w:rFonts w:ascii="仿宋_GB2312" w:eastAsia="仿宋_GB2312"/>
          <w:b/>
          <w:color w:val="313131"/>
        </w:rPr>
      </w:pPr>
    </w:p>
    <w:p w:rsidR="00000000" w:rsidRDefault="00A0662A">
      <w:pPr>
        <w:pStyle w:val="Default"/>
        <w:spacing w:line="560" w:lineRule="exact"/>
        <w:ind w:left="418" w:right="1628"/>
        <w:jc w:val="center"/>
        <w:rPr>
          <w:rFonts w:ascii="仿宋_GB2312" w:eastAsia="仿宋_GB2312"/>
          <w:b/>
          <w:color w:val="313131"/>
        </w:rPr>
      </w:pPr>
      <w:r>
        <w:rPr>
          <w:rFonts w:ascii="仿宋_GB2312" w:eastAsia="仿宋_GB2312" w:hint="eastAsia"/>
          <w:b/>
          <w:color w:val="313131"/>
        </w:rPr>
        <w:t>第四章评审与批准</w:t>
      </w:r>
    </w:p>
    <w:p w:rsidR="00000000" w:rsidRDefault="00A0662A">
      <w:pPr>
        <w:spacing w:line="560" w:lineRule="exact"/>
        <w:ind w:firstLineChars="200" w:firstLine="482"/>
        <w:rPr>
          <w:rFonts w:ascii="仿宋_GB2312" w:eastAsia="仿宋_GB2312"/>
        </w:rPr>
      </w:pPr>
      <w:r>
        <w:rPr>
          <w:rFonts w:ascii="仿宋_GB2312" w:eastAsia="仿宋_GB2312" w:hint="eastAsia"/>
          <w:b/>
        </w:rPr>
        <w:t>第九条</w:t>
      </w:r>
      <w:r>
        <w:rPr>
          <w:rFonts w:ascii="仿宋_GB2312" w:eastAsia="仿宋_GB2312"/>
          <w:b/>
        </w:rPr>
        <w:t xml:space="preserve"> </w:t>
      </w:r>
      <w:r>
        <w:rPr>
          <w:rFonts w:ascii="仿宋_GB2312" w:eastAsia="仿宋_GB2312" w:hint="eastAsia"/>
        </w:rPr>
        <w:t>霍英东教育基金会理事会组织霍英东教育基金会顾问委员会的委员及有关专家，通过资格审查、同行通讯评议和专家会议评议相结合的三级评审程序，对学校报送的青年科学奖和教育教学奖候选人的材料进行评审或答辩，并择优给予奖励。</w:t>
      </w:r>
    </w:p>
    <w:p w:rsidR="00000000" w:rsidRDefault="00A0662A">
      <w:pPr>
        <w:spacing w:line="560" w:lineRule="exact"/>
        <w:ind w:firstLineChars="200" w:firstLine="480"/>
        <w:rPr>
          <w:rFonts w:ascii="仿宋_GB2312" w:eastAsia="仿宋_GB2312"/>
        </w:rPr>
      </w:pPr>
      <w:r>
        <w:rPr>
          <w:rFonts w:ascii="仿宋_GB2312" w:eastAsia="仿宋_GB2312" w:hint="eastAsia"/>
        </w:rPr>
        <w:t>青年科学奖及教育教学奖由霍英东教育基金会理事会批准，或</w:t>
      </w:r>
      <w:r>
        <w:rPr>
          <w:rFonts w:ascii="仿宋_GB2312" w:eastAsia="仿宋_GB2312" w:hint="eastAsia"/>
        </w:rPr>
        <w:t>由理事会授权的理事批准。</w:t>
      </w:r>
    </w:p>
    <w:p w:rsidR="00000000" w:rsidRDefault="00A0662A">
      <w:pPr>
        <w:spacing w:line="560" w:lineRule="exact"/>
        <w:ind w:firstLineChars="200" w:firstLine="480"/>
        <w:rPr>
          <w:rFonts w:ascii="仿宋_GB2312" w:eastAsia="仿宋_GB2312"/>
        </w:rPr>
      </w:pPr>
      <w:r>
        <w:rPr>
          <w:rFonts w:ascii="仿宋_GB2312" w:eastAsia="仿宋_GB2312" w:hint="eastAsia"/>
        </w:rPr>
        <w:t>具体评审等相关工作委托教育部科技发展中心组织开展。</w:t>
      </w:r>
    </w:p>
    <w:p w:rsidR="00000000" w:rsidRDefault="00A0662A">
      <w:pPr>
        <w:spacing w:line="560" w:lineRule="exact"/>
        <w:ind w:firstLineChars="200" w:firstLine="482"/>
        <w:rPr>
          <w:rFonts w:ascii="仿宋_GB2312" w:eastAsia="仿宋_GB2312"/>
        </w:rPr>
      </w:pPr>
      <w:r>
        <w:rPr>
          <w:rFonts w:ascii="仿宋_GB2312" w:eastAsia="仿宋_GB2312" w:hint="eastAsia"/>
          <w:b/>
        </w:rPr>
        <w:t>第十条</w:t>
      </w:r>
      <w:r>
        <w:rPr>
          <w:rFonts w:ascii="仿宋_GB2312" w:eastAsia="仿宋_GB2312"/>
          <w:b/>
        </w:rPr>
        <w:t xml:space="preserve"> </w:t>
      </w:r>
      <w:r>
        <w:rPr>
          <w:rFonts w:ascii="仿宋_GB2312" w:eastAsia="仿宋_GB2312" w:hint="eastAsia"/>
        </w:rPr>
        <w:t>奖励接受社会监督，实行异议处理制度。任何单位或个人对公示的候选获奖人如有异议，在规定的公示期内可向基金会提出。</w:t>
      </w:r>
    </w:p>
    <w:p w:rsidR="00000000" w:rsidRDefault="00A0662A">
      <w:pPr>
        <w:spacing w:line="560" w:lineRule="exact"/>
        <w:ind w:firstLineChars="200" w:firstLine="482"/>
        <w:rPr>
          <w:rFonts w:ascii="仿宋_GB2312" w:eastAsia="仿宋_GB2312"/>
        </w:rPr>
      </w:pPr>
      <w:r>
        <w:rPr>
          <w:rFonts w:ascii="仿宋_GB2312" w:eastAsia="仿宋_GB2312" w:hint="eastAsia"/>
          <w:b/>
        </w:rPr>
        <w:t>第十一条</w:t>
      </w:r>
      <w:r>
        <w:rPr>
          <w:rFonts w:ascii="仿宋_GB2312" w:eastAsia="仿宋_GB2312"/>
          <w:b/>
        </w:rPr>
        <w:t xml:space="preserve"> </w:t>
      </w:r>
      <w:r>
        <w:rPr>
          <w:rFonts w:ascii="仿宋_GB2312" w:eastAsia="仿宋_GB2312" w:hint="eastAsia"/>
        </w:rPr>
        <w:t>如获奖人在师德师风、学术道德方面存在问题，或剽窃、侵夺他人科学技术成果或教学成果的，或以其他不正当手段骗取奖励的，由基金会撤销其奖励，追回证书等。</w:t>
      </w:r>
    </w:p>
    <w:p w:rsidR="00000000" w:rsidRDefault="00A0662A">
      <w:pPr>
        <w:pStyle w:val="Default"/>
        <w:spacing w:line="560" w:lineRule="exact"/>
        <w:ind w:left="418" w:right="1628"/>
        <w:jc w:val="center"/>
        <w:rPr>
          <w:rFonts w:ascii="仿宋_GB2312" w:eastAsia="仿宋_GB2312"/>
          <w:b/>
          <w:color w:val="313131"/>
        </w:rPr>
      </w:pPr>
    </w:p>
    <w:p w:rsidR="00000000" w:rsidRDefault="00A0662A">
      <w:pPr>
        <w:pStyle w:val="Default"/>
        <w:spacing w:line="560" w:lineRule="exact"/>
        <w:ind w:left="418" w:right="1628"/>
        <w:jc w:val="center"/>
        <w:rPr>
          <w:rFonts w:ascii="仿宋_GB2312" w:eastAsia="仿宋_GB2312"/>
          <w:b/>
          <w:color w:val="313131"/>
        </w:rPr>
      </w:pPr>
      <w:r>
        <w:rPr>
          <w:rFonts w:ascii="仿宋_GB2312" w:eastAsia="仿宋_GB2312" w:hint="eastAsia"/>
          <w:b/>
          <w:color w:val="313131"/>
        </w:rPr>
        <w:t>第五章附则</w:t>
      </w:r>
    </w:p>
    <w:p w:rsidR="00000000" w:rsidRDefault="00A0662A">
      <w:pPr>
        <w:spacing w:line="560" w:lineRule="exact"/>
        <w:ind w:firstLineChars="200" w:firstLine="482"/>
        <w:rPr>
          <w:rFonts w:ascii="仿宋_GB2312" w:eastAsia="仿宋_GB2312"/>
        </w:rPr>
      </w:pPr>
      <w:r>
        <w:rPr>
          <w:rFonts w:ascii="仿宋_GB2312" w:eastAsia="仿宋_GB2312" w:hint="eastAsia"/>
          <w:b/>
        </w:rPr>
        <w:lastRenderedPageBreak/>
        <w:t>第十二条</w:t>
      </w:r>
      <w:r>
        <w:rPr>
          <w:rFonts w:ascii="仿宋_GB2312" w:eastAsia="仿宋_GB2312"/>
          <w:b/>
        </w:rPr>
        <w:t xml:space="preserve"> </w:t>
      </w:r>
      <w:r>
        <w:rPr>
          <w:rFonts w:ascii="仿宋_GB2312" w:eastAsia="仿宋_GB2312" w:hint="eastAsia"/>
        </w:rPr>
        <w:t>本办法自公布之日起生效。第十三条本办法的解释权属霍英东教育基金会。</w:t>
      </w:r>
    </w:p>
    <w:p w:rsidR="00000000" w:rsidRDefault="00A0662A">
      <w:pPr>
        <w:spacing w:line="560" w:lineRule="exact"/>
        <w:ind w:firstLineChars="200" w:firstLine="482"/>
        <w:rPr>
          <w:rFonts w:ascii="仿宋_GB2312" w:eastAsia="仿宋_GB2312"/>
        </w:rPr>
      </w:pPr>
      <w:r>
        <w:rPr>
          <w:rFonts w:ascii="仿宋_GB2312" w:eastAsia="仿宋_GB2312" w:hint="eastAsia"/>
          <w:b/>
        </w:rPr>
        <w:t>第十三条</w:t>
      </w:r>
      <w:r>
        <w:rPr>
          <w:rFonts w:ascii="仿宋_GB2312" w:eastAsia="仿宋_GB2312"/>
        </w:rPr>
        <w:t xml:space="preserve"> </w:t>
      </w:r>
      <w:r>
        <w:rPr>
          <w:rFonts w:ascii="仿宋_GB2312" w:eastAsia="仿宋_GB2312" w:hint="eastAsia"/>
        </w:rPr>
        <w:t>本办法的解释权属霍英东教育基金会。</w:t>
      </w:r>
    </w:p>
    <w:p w:rsidR="00000000" w:rsidRDefault="00A0662A">
      <w:pPr>
        <w:spacing w:line="560" w:lineRule="exact"/>
        <w:ind w:firstLineChars="200" w:firstLine="480"/>
        <w:rPr>
          <w:rFonts w:ascii="仿宋_GB2312" w:eastAsia="仿宋_GB2312"/>
        </w:rPr>
      </w:pPr>
    </w:p>
    <w:sectPr w:rsidR="00000000">
      <w:headerReference w:type="default" r:id="rId6"/>
      <w:footerReference w:type="default" r:id="rId7"/>
      <w:pgSz w:w="11906" w:h="16838"/>
      <w:pgMar w:top="2098" w:right="1474" w:bottom="1985"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0662A">
      <w:pPr>
        <w:autoSpaceDE w:val="0"/>
        <w:autoSpaceDN w:val="0"/>
        <w:adjustRightInd w:val="0"/>
        <w:jc w:val="left"/>
        <w:rPr>
          <w:rFonts w:ascii="Times New Roman" w:hAnsi="Times New Roman"/>
          <w:kern w:val="0"/>
        </w:rPr>
      </w:pPr>
      <w:r>
        <w:rPr>
          <w:rFonts w:ascii="Times New Roman" w:hAnsi="Times New Roman"/>
          <w:kern w:val="0"/>
        </w:rPr>
        <w:separator/>
      </w:r>
    </w:p>
  </w:endnote>
  <w:endnote w:type="continuationSeparator" w:id="0">
    <w:p w:rsidR="00000000" w:rsidRDefault="00A0662A">
      <w:pPr>
        <w:autoSpaceDE w:val="0"/>
        <w:autoSpaceDN w:val="0"/>
        <w:adjustRightInd w:val="0"/>
        <w:jc w:val="left"/>
        <w:rPr>
          <w:rFonts w:ascii="Times New Roman" w:hAnsi="Times New Roman"/>
          <w:kern w:val="0"/>
        </w:rPr>
      </w:pPr>
      <w:r>
        <w:rPr>
          <w:rFonts w:ascii="Times New Roman" w:hAnsi="Times New Roman"/>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Calibri">
    <w:altName w:val="????"/>
    <w:panose1 w:val="020F0502020204030204"/>
    <w:charset w:val="00"/>
    <w:family w:val="swiss"/>
    <w:pitch w:val="variable"/>
    <w:sig w:usb0="E4002EFF" w:usb1="C000247B" w:usb2="00000009" w:usb3="00000000" w:csb0="000001FF" w:csb1="00000000"/>
  </w:font>
  <w:font w:name="黑体">
    <w:altName w:val="??"/>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altName w:val="??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0662A">
    <w:pPr>
      <w:pStyle w:val="a3"/>
      <w:jc w:val="center"/>
      <w:rPr>
        <w:rFonts w:ascii="Times New Roman" w:eastAsia="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lang w:val="zh-CN" w:eastAsia="zh-CN"/>
      </w:rPr>
      <w:t>1</w:t>
    </w:r>
    <w:r>
      <w:rPr>
        <w:rFonts w:ascii="Times New Roman" w:hAnsi="Times New Roman"/>
      </w:rPr>
      <w:fldChar w:fldCharType="end"/>
    </w:r>
  </w:p>
  <w:p w:rsidR="00000000" w:rsidRDefault="00A0662A">
    <w:pPr>
      <w:pStyle w:val="a3"/>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0662A">
      <w:pPr>
        <w:autoSpaceDE w:val="0"/>
        <w:autoSpaceDN w:val="0"/>
        <w:adjustRightInd w:val="0"/>
        <w:jc w:val="left"/>
        <w:rPr>
          <w:rFonts w:ascii="Times New Roman" w:hAnsi="Times New Roman"/>
          <w:kern w:val="0"/>
        </w:rPr>
      </w:pPr>
      <w:r>
        <w:rPr>
          <w:rFonts w:ascii="Times New Roman" w:hAnsi="Times New Roman"/>
          <w:kern w:val="0"/>
        </w:rPr>
      </w:r>
      <w:r>
        <w:rPr>
          <w:rFonts w:ascii="Times New Roman" w:hAnsi="Times New Roman"/>
          <w:kern w:val="0"/>
        </w:rPr>
        <w:separator/>
      </w:r>
    </w:p>
  </w:footnote>
  <w:footnote w:type="continuationSeparator" w:id="0">
    <w:p w:rsidR="00000000" w:rsidRDefault="00A0662A">
      <w:pPr>
        <w:autoSpaceDE w:val="0"/>
        <w:autoSpaceDN w:val="0"/>
        <w:adjustRightInd w:val="0"/>
        <w:jc w:val="left"/>
        <w:rPr>
          <w:rFonts w:ascii="Times New Roman" w:hAnsi="Times New Roman"/>
          <w:kern w:val="0"/>
        </w:rPr>
      </w:pPr>
      <w:r>
        <w:rPr>
          <w:rFonts w:ascii="Times New Roman" w:hAnsi="Times New Roman"/>
          <w:kern w:val="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0662A">
    <w:pPr>
      <w:pStyle w:val="a4"/>
      <w:pBdr>
        <w:bottom w:val="none" w:sz="0" w:space="0" w:color="auto"/>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俊堛娿屻庛庯愩斻栵樷涳溿紙蓟路鈥锛锝锟"/>
  <w:noLineBreaksBefore w:lang="ja-JP" w:val="!),.:;?]}€併傘傦冦呫埗夈夛嬨嶃庯忋戙斤曗曘栤楋欌涳滐濃烇篓紒紘紝細紵絸綕繝藝藟路鈥銆锛锝︹"/>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2A"/>
    <w:rsid w:val="00000000"/>
    <w:rsid w:val="00A06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3A5A5E-6B07-42A4-B7A0-3C1784DA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脚 字符1"/>
    <w:basedOn w:val="a0"/>
    <w:link w:val="a3"/>
    <w:uiPriority w:val="99"/>
    <w:unhideWhenUsed/>
    <w:locked/>
  </w:style>
  <w:style w:type="character" w:customStyle="1" w:styleId="10">
    <w:name w:val="页眉 字符1"/>
    <w:basedOn w:val="a0"/>
    <w:link w:val="a4"/>
    <w:uiPriority w:val="99"/>
    <w:unhideWhenUsed/>
    <w:locked/>
  </w:style>
  <w:style w:type="paragraph" w:styleId="a4">
    <w:name w:val="header"/>
    <w:basedOn w:val="a"/>
    <w:link w:val="10"/>
    <w:uiPriority w:val="99"/>
    <w:unhideWhenUsed/>
    <w:pPr>
      <w:pBdr>
        <w:bottom w:val="single" w:sz="6" w:space="1" w:color="auto"/>
      </w:pBdr>
      <w:tabs>
        <w:tab w:val="center" w:pos="4153"/>
        <w:tab w:val="right" w:pos="8306"/>
      </w:tabs>
      <w:snapToGrid w:val="0"/>
      <w:jc w:val="center"/>
    </w:pPr>
  </w:style>
  <w:style w:type="character" w:customStyle="1" w:styleId="a5">
    <w:name w:val="页眉 字符"/>
    <w:basedOn w:val="a0"/>
    <w:uiPriority w:val="99"/>
    <w:semiHidden/>
    <w:rPr>
      <w:rFonts w:ascii="Calibri" w:hAnsi="Calibri" w:cs="Times New Roman"/>
      <w:sz w:val="18"/>
      <w:szCs w:val="18"/>
    </w:rPr>
  </w:style>
  <w:style w:type="paragraph" w:styleId="a3">
    <w:name w:val="footer"/>
    <w:basedOn w:val="a"/>
    <w:link w:val="1"/>
    <w:uiPriority w:val="99"/>
    <w:unhideWhenUsed/>
    <w:pPr>
      <w:tabs>
        <w:tab w:val="center" w:pos="4153"/>
        <w:tab w:val="right" w:pos="8306"/>
      </w:tabs>
      <w:snapToGrid w:val="0"/>
      <w:jc w:val="left"/>
    </w:pPr>
  </w:style>
  <w:style w:type="character" w:customStyle="1" w:styleId="a6">
    <w:name w:val="页脚 字符"/>
    <w:basedOn w:val="a0"/>
    <w:uiPriority w:val="99"/>
    <w:semiHidden/>
    <w:rPr>
      <w:rFonts w:ascii="Calibri" w:hAnsi="Calibri" w:cs="Times New Roman"/>
      <w:sz w:val="18"/>
      <w:szCs w:val="18"/>
    </w:rPr>
  </w:style>
  <w:style w:type="paragraph" w:customStyle="1" w:styleId="CM9">
    <w:name w:val="CM9"/>
    <w:basedOn w:val="Default"/>
    <w:next w:val="Default"/>
    <w:uiPriority w:val="99"/>
    <w:unhideWhenUsed/>
    <w:pPr>
      <w:spacing w:after="165"/>
    </w:pPr>
  </w:style>
  <w:style w:type="paragraph" w:customStyle="1" w:styleId="CM8">
    <w:name w:val="CM8"/>
    <w:basedOn w:val="Default"/>
    <w:next w:val="Default"/>
    <w:uiPriority w:val="99"/>
    <w:unhideWhenUsed/>
    <w:pPr>
      <w:spacing w:line="560" w:lineRule="atLeast"/>
    </w:pPr>
  </w:style>
  <w:style w:type="paragraph" w:customStyle="1" w:styleId="CM1">
    <w:name w:val="CM1"/>
    <w:basedOn w:val="Default"/>
    <w:next w:val="Default"/>
    <w:uiPriority w:val="99"/>
    <w:unhideWhenUsed/>
    <w:pPr>
      <w:spacing w:line="560" w:lineRule="atLeast"/>
    </w:pPr>
  </w:style>
  <w:style w:type="paragraph" w:customStyle="1" w:styleId="CM2">
    <w:name w:val="CM2"/>
    <w:basedOn w:val="Default"/>
    <w:next w:val="Default"/>
    <w:uiPriority w:val="99"/>
    <w:unhideWhenUsed/>
  </w:style>
  <w:style w:type="paragraph" w:customStyle="1" w:styleId="CM5">
    <w:name w:val="CM5"/>
    <w:basedOn w:val="Default"/>
    <w:next w:val="Default"/>
    <w:uiPriority w:val="99"/>
    <w:unhideWhenUsed/>
    <w:pPr>
      <w:spacing w:line="560" w:lineRule="atLeast"/>
    </w:pPr>
  </w:style>
  <w:style w:type="paragraph" w:customStyle="1" w:styleId="Default">
    <w:name w:val="Default"/>
    <w:unhideWhenUsed/>
    <w:pPr>
      <w:widowControl w:val="0"/>
      <w:autoSpaceDE w:val="0"/>
      <w:autoSpaceDN w:val="0"/>
      <w:adjustRightInd w:val="0"/>
    </w:pPr>
    <w:rPr>
      <w:rFonts w:ascii="黑体" w:eastAsia="黑体" w:hAnsi="Calibri"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Words>
  <Characters>1339</Characters>
  <Application>Microsoft Office Word</Application>
  <DocSecurity>4</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uos</dc:creator>
  <cp:keywords/>
  <dc:description/>
  <cp:lastModifiedBy>Administrator</cp:lastModifiedBy>
  <cp:revision>2</cp:revision>
  <dcterms:created xsi:type="dcterms:W3CDTF">2023-08-24T09:52:00Z</dcterms:created>
  <dcterms:modified xsi:type="dcterms:W3CDTF">2023-08-24T09:52:00Z</dcterms:modified>
</cp:coreProperties>
</file>